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 86MS0080-01-2025-003721-30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2-2754-2806/2025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гражданскому делу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Style w:val="cat-Addressgrp-0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4rplc-3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МАКстрой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Дахирову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МАКстрой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обратилось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иском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суд приходит к следующему.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6 постановления Пленума Верховного суда РФ от </w:t>
      </w:r>
      <w:r>
        <w:rPr>
          <w:rStyle w:val="cat-Dategrp-5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судебной практике по делам о наследовании», с</w:t>
      </w:r>
      <w:r>
        <w:rPr>
          <w:rFonts w:ascii="Times New Roman" w:eastAsia="Times New Roman" w:hAnsi="Times New Roman" w:cs="Times New Roman"/>
          <w:sz w:val="28"/>
          <w:szCs w:val="28"/>
        </w:rPr>
        <w:t>уд отказывает в принятии искового заявления, предъявленного к умершему гражданину, со ссылкой на пункт 1 части 1 статьи 134 ГПК РФ, поскольку нести ответственность за нарушение прав и законных интересов гражданина может только лицо, обладающее гражданской и гражданской процессуальной правоспособностью.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гражданское дело по такому исковому заявлению было возбуждено, производство по делу подлежит прекращению в силу абзаца седьмого статьи 220 ГПК Российской Федерации с указанием на право истца на обращение с иском к принявшим наследство наследникам, а до принятия наследства - к исполнителю завещания или к наследственному имуществу (пункт 3 статьи 1175 ГК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абзаца 7 ст. 220 ГПК РФ суд прекращает производство по делу, если после смерти гражданина, являющегося одной из сторон по делу, спорное правоотношение не допускает правопреемство.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установлено, что исковое заявление принято к производству мирового судьи </w:t>
      </w:r>
      <w:r>
        <w:rPr>
          <w:rStyle w:val="cat-Dategrp-6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представленному 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ответу на запрос от </w:t>
      </w:r>
      <w:r>
        <w:rPr>
          <w:rStyle w:val="cat-Dategrp-7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Style w:val="cat-FIOgrp-1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ExternalSystem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3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умер </w:t>
      </w:r>
      <w:r>
        <w:rPr>
          <w:rStyle w:val="cat-Dategrp-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 силу вышеизложенных обстоятельств, указанное гражданское дело подлежит прекращению.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220, 224-225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гражданскому делу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МАКстрой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Дахирову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со смертью ответчика.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 о том же предмете и по тем же основаниям не допускается.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истцу право </w:t>
      </w:r>
      <w:r>
        <w:rPr>
          <w:rFonts w:ascii="Times New Roman" w:eastAsia="Times New Roman" w:hAnsi="Times New Roman" w:cs="Times New Roman"/>
          <w:sz w:val="28"/>
          <w:szCs w:val="28"/>
        </w:rPr>
        <w:t>на обращение с иском к принявшим наследство наследникам, а до принятия наследства - к исполнителю завещания или к наследственному имуществу.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Ханты-Мансийский районный суд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дней с момента вынесения, путём подачи частной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Style w:val="cat-FIOgrp-12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5389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2">
    <w:name w:val="cat-Address grp-0 rplc-2"/>
    <w:basedOn w:val="DefaultParagraphFont"/>
  </w:style>
  <w:style w:type="character" w:customStyle="1" w:styleId="cat-Dategrp-4rplc-3">
    <w:name w:val="cat-Date grp-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FIOgrp-10rplc-8">
    <w:name w:val="cat-FIO grp-10 rplc-8"/>
    <w:basedOn w:val="DefaultParagraphFont"/>
  </w:style>
  <w:style w:type="character" w:customStyle="1" w:styleId="cat-Dategrp-5rplc-10">
    <w:name w:val="cat-Date grp-5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ExternalSystemDefinedgrp-17rplc-14">
    <w:name w:val="cat-ExternalSystemDefined grp-17 rplc-14"/>
    <w:basedOn w:val="DefaultParagraphFont"/>
  </w:style>
  <w:style w:type="character" w:customStyle="1" w:styleId="cat-PassportDatagrp-13rplc-15">
    <w:name w:val="cat-PassportData grp-13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0403-309E-403A-91BC-173342D76BB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